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FF0000"/>
          <w:sz w:val="84"/>
          <w:szCs w:val="84"/>
          <w:lang w:val="en-US"/>
        </w:rPr>
      </w:pPr>
      <w:r>
        <w:rPr>
          <w:rFonts w:hint="eastAsia" w:ascii="Calibri" w:hAnsi="Calibri" w:eastAsia="宋体" w:cs="宋体"/>
          <w:b/>
          <w:color w:val="FF0000"/>
          <w:kern w:val="2"/>
          <w:sz w:val="84"/>
          <w:szCs w:val="84"/>
          <w:lang w:val="en-US" w:eastAsia="zh-CN" w:bidi="ar"/>
        </w:rPr>
        <w:t>苏州装修装饰行业协会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苏装行协（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2021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）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01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FF0000"/>
          <w:sz w:val="28"/>
          <w:szCs w:val="28"/>
          <w:u w:val="thick"/>
          <w:lang w:val="en-US"/>
        </w:rPr>
      </w:pPr>
      <w:r>
        <w:rPr>
          <w:rFonts w:hint="default" w:ascii="Calibri" w:hAnsi="Calibri" w:eastAsia="宋体" w:cs="Times New Roman"/>
          <w:color w:val="FF0000"/>
          <w:kern w:val="2"/>
          <w:sz w:val="28"/>
          <w:szCs w:val="28"/>
          <w:u w:val="thick"/>
          <w:lang w:val="en-US" w:eastAsia="zh-CN" w:bidi="ar"/>
        </w:rPr>
        <w:t xml:space="preserve"> 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36"/>
          <w:szCs w:val="36"/>
          <w:lang w:val="en-US" w:eastAsia="zh-CN" w:bidi="ar"/>
        </w:rPr>
        <w:t>苏州市装修装饰行业协会会费标准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协会现在执行的会费收取标准是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2018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月制定的。为了贯彻发改经体〔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2017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〕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1999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号文件精神（会费档次不能超过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档）。本着收支平衡，略有结余的原则，经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2020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11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26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日五届一次理事会会员大会无记名投票通过，自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2021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年起会费标准调整如下：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一、会员企业：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2000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二、理事单位：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5000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三、副会长单位：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20000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四、会长单位：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30000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请各会员企业参照执行。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480" w:firstLineChars="1600"/>
        <w:jc w:val="right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苏州市装修装饰行业协会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default"/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 xml:space="preserve">二○二一年一月四日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A166B"/>
    <w:rsid w:val="4E70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2021-03-03T05:52:00Z</dcterms:created>
  <dc:creator>Administrator</dc:creator>
  <cp:lastModifiedBy>Barbara</cp:lastModifiedBy>
  <dcterms:modified xsi:type="dcterms:W3CDTF">2021-03-03T06:15:18Z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