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附件1:</w:t>
      </w: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</w:t>
      </w:r>
      <w:r>
        <w:rPr>
          <w:rFonts w:hint="eastAsia" w:eastAsia="方正小标宋_GBK"/>
          <w:sz w:val="44"/>
          <w:szCs w:val="44"/>
        </w:rPr>
        <w:t>7</w:t>
      </w:r>
      <w:r>
        <w:rPr>
          <w:rFonts w:eastAsia="方正小标宋_GBK"/>
          <w:sz w:val="44"/>
          <w:szCs w:val="44"/>
        </w:rPr>
        <w:t>年度江苏省优质工程奖“扬子杯”申报</w:t>
      </w:r>
    </w:p>
    <w:p>
      <w:pPr>
        <w:spacing w:line="570" w:lineRule="exact"/>
        <w:jc w:val="center"/>
        <w:rPr>
          <w:rFonts w:hint="eastAsia" w:hAnsi="宋体"/>
          <w:b/>
          <w:sz w:val="32"/>
          <w:szCs w:val="32"/>
        </w:rPr>
      </w:pPr>
      <w:r>
        <w:rPr>
          <w:rFonts w:eastAsia="方正小标宋_GBK"/>
          <w:sz w:val="44"/>
          <w:szCs w:val="44"/>
        </w:rPr>
        <w:t>规模标准</w:t>
      </w:r>
      <w:bookmarkStart w:id="0" w:name="_GoBack"/>
      <w:bookmarkEnd w:id="0"/>
    </w:p>
    <w:p>
      <w:pPr>
        <w:spacing w:line="580" w:lineRule="exact"/>
        <w:rPr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 xml:space="preserve">    </w:t>
      </w:r>
      <w:r>
        <w:rPr>
          <w:rFonts w:hAnsi="宋体"/>
          <w:b/>
          <w:sz w:val="32"/>
          <w:szCs w:val="32"/>
        </w:rPr>
        <w:t>…………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六、装饰专业工程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1、建筑装饰工程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工程造价1000万元以上（不含设备购置和安装费用）</w:t>
      </w:r>
      <w:r>
        <w:rPr>
          <w:rFonts w:hint="eastAsia" w:eastAsia="仿宋_GB2312"/>
          <w:sz w:val="32"/>
          <w:szCs w:val="32"/>
        </w:rPr>
        <w:t>的公共建筑</w:t>
      </w:r>
      <w:r>
        <w:rPr>
          <w:rFonts w:eastAsia="仿宋_GB2312"/>
          <w:sz w:val="32"/>
          <w:szCs w:val="32"/>
        </w:rPr>
        <w:t>整体装修</w:t>
      </w:r>
      <w:r>
        <w:rPr>
          <w:rFonts w:hint="eastAsia"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。古建筑、保护性文物建筑，建筑面积1000平方米以上，且应当为整体装修</w:t>
      </w:r>
      <w:r>
        <w:rPr>
          <w:rFonts w:hint="eastAsia"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2、建筑幕墙工程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工程造价1000万元以上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玻璃、石材、金属</w:t>
      </w:r>
      <w:r>
        <w:rPr>
          <w:rFonts w:hint="eastAsia" w:eastAsia="仿宋_GB2312"/>
          <w:sz w:val="32"/>
          <w:szCs w:val="32"/>
        </w:rPr>
        <w:t>幕墙工程。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3、建筑</w:t>
      </w:r>
      <w:r>
        <w:rPr>
          <w:rFonts w:hint="eastAsia" w:eastAsia="仿宋_GB2312"/>
          <w:sz w:val="32"/>
          <w:szCs w:val="32"/>
        </w:rPr>
        <w:t>装饰</w:t>
      </w:r>
      <w:r>
        <w:rPr>
          <w:rFonts w:eastAsia="仿宋_GB2312"/>
          <w:sz w:val="32"/>
          <w:szCs w:val="32"/>
        </w:rPr>
        <w:t>智能化系统工程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工程造价500万元以上。包括</w:t>
      </w:r>
      <w:r>
        <w:rPr>
          <w:rFonts w:hint="eastAsia" w:eastAsia="仿宋_GB2312"/>
          <w:sz w:val="32"/>
          <w:szCs w:val="32"/>
        </w:rPr>
        <w:t>建筑装饰</w:t>
      </w:r>
      <w:r>
        <w:rPr>
          <w:rFonts w:eastAsia="仿宋_GB2312"/>
          <w:sz w:val="32"/>
          <w:szCs w:val="32"/>
        </w:rPr>
        <w:t>智能化集成系统；信息接入系统；用户电话交换系统；信息网络系统；综合布线系统及计算机网络系统；移动通信室内信号覆盖系统；卫星通信系统；有线电视及卫星电视接收系统；公共广播系统；会议系统和影剧场灯光音效设施系统；信息导引及发布系统；时钟系统；信息化应用系统；建筑设备监控系统；火灾自动报警系统；安全技术防范系统；应急响应系统；防雷与接地</w:t>
      </w:r>
      <w:r>
        <w:rPr>
          <w:rFonts w:hint="eastAsia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53F9A"/>
    <w:rsid w:val="32153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2018-03-08T07:46:00Z</dcterms:created>
  <dc:creator>学艺站</dc:creator>
  <cp:lastModifiedBy>学艺站</cp:lastModifiedBy>
  <dcterms:modified xsi:type="dcterms:W3CDTF">2018-03-08T07:47:14Z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